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Lato Black" w:cs="Lato Black" w:eastAsia="Lato Black" w:hAnsi="Lato Black"/>
        </w:rPr>
      </w:pPr>
      <w:r w:rsidDel="00000000" w:rsidR="00000000" w:rsidRPr="00000000">
        <w:rPr>
          <w:rFonts w:ascii="Lato Black" w:cs="Lato Black" w:eastAsia="Lato Black" w:hAnsi="Lato Black"/>
          <w:rtl w:val="0"/>
        </w:rPr>
        <w:t xml:space="preserve">Rochester Hills Public Library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500 Olde Towne Road, Rochester, MI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Mission: 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Rochester Hills Public Library empowers people to explore and create with resources that enlight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en, educate, entertain, and inform.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August 6, 2025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ato Black" w:cs="Lato Black" w:eastAsia="Lato Black" w:hAnsi="Lato Black"/>
          <w:b w:val="1"/>
          <w:sz w:val="28"/>
          <w:szCs w:val="28"/>
        </w:rPr>
      </w:pPr>
      <w:r w:rsidDel="00000000" w:rsidR="00000000" w:rsidRPr="00000000">
        <w:rPr>
          <w:rFonts w:ascii="Lato Black" w:cs="Lato Black" w:eastAsia="Lato Black" w:hAnsi="Lato Black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of the regular meeting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Public Hearing regarding the RHPL 2026 Proposed Budget Plan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Elevator Modernization summary and recommendation prepared by Andy Roy, The Roy Company (TRC)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wg90omgytti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Agenda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regular meeting 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July 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for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bills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July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amount of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426,765.30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Comments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Foundation of Greater Rochester RHPL Endowed Funds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2025 News &amp; Views newsletter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Press Coverage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Library Director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Statistical Report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Updates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reading of MGT-5 Gifts and Donations Policy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reading of MGT-14 Volunteer Policy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reading of PERF-2 Professional Development Policy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reading of INF-2 Information Services Policy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Evaluation - appoint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 2026 budget plan and resolution to appropriate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and Comments from the Liaisons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630" w:top="144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Calibri"/>
  <w:font w:name="Lato Black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*Each individual shall state their name, municipality, and will be permitted 3 minutes of comment time.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rebuchet MS" w:cs="Trebuchet MS" w:eastAsia="Trebuchet MS" w:hAnsi="Trebuchet MS"/>
      <w:b w:val="1"/>
    </w:rPr>
  </w:style>
  <w:style w:type="paragraph" w:styleId="Subtitle">
    <w:name w:val="Subtitle"/>
    <w:basedOn w:val="Normal"/>
    <w:next w:val="Normal"/>
    <w:pPr>
      <w:spacing w:after="160" w:lineRule="auto"/>
      <w:ind w:left="1440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Black-bold.ttf"/><Relationship Id="rId2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